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DE6" w:rsidRPr="00051AC1" w:rsidRDefault="00933DE6" w:rsidP="00933DE6">
      <w:pPr>
        <w:spacing w:after="360" w:line="276" w:lineRule="auto"/>
        <w:jc w:val="center"/>
        <w:rPr>
          <w:rFonts w:ascii="Times New Roman" w:hAnsi="Times New Roman" w:cs="Times New Roman"/>
          <w:b/>
          <w:sz w:val="32"/>
        </w:rPr>
      </w:pPr>
      <w:r w:rsidRPr="00933DE6">
        <w:rPr>
          <w:rFonts w:ascii="Times New Roman" w:hAnsi="Times New Roman" w:cs="Times New Roman"/>
          <w:b/>
          <w:sz w:val="32"/>
          <w:szCs w:val="36"/>
        </w:rPr>
        <w:t>10 Years of Mandatory Anti</w:t>
      </w:r>
      <w:r>
        <w:rPr>
          <w:rFonts w:ascii="Times New Roman" w:hAnsi="Times New Roman" w:cs="Times New Roman"/>
          <w:b/>
          <w:sz w:val="32"/>
          <w:szCs w:val="36"/>
        </w:rPr>
        <w:t>-</w:t>
      </w:r>
      <w:r w:rsidRPr="00933DE6">
        <w:rPr>
          <w:rFonts w:ascii="Times New Roman" w:hAnsi="Times New Roman" w:cs="Times New Roman"/>
          <w:b/>
          <w:sz w:val="32"/>
          <w:szCs w:val="36"/>
        </w:rPr>
        <w:t xml:space="preserve">Corruption Education </w:t>
      </w:r>
      <w:r>
        <w:rPr>
          <w:rFonts w:ascii="Times New Roman" w:hAnsi="Times New Roman" w:cs="Times New Roman"/>
          <w:b/>
          <w:sz w:val="32"/>
          <w:szCs w:val="36"/>
        </w:rPr>
        <w:t>—</w:t>
      </w:r>
      <w:r w:rsidRPr="00933DE6">
        <w:rPr>
          <w:rFonts w:ascii="Times New Roman" w:hAnsi="Times New Roman" w:cs="Times New Roman" w:hint="eastAsia"/>
          <w:b/>
          <w:sz w:val="32"/>
          <w:szCs w:val="36"/>
        </w:rPr>
        <w:t xml:space="preserve"> </w:t>
      </w:r>
      <w:r>
        <w:rPr>
          <w:rFonts w:ascii="Times New Roman" w:hAnsi="Times New Roman" w:cs="Times New Roman"/>
          <w:b/>
          <w:sz w:val="32"/>
          <w:szCs w:val="36"/>
        </w:rPr>
        <w:br/>
      </w:r>
      <w:r w:rsidRPr="00051AC1">
        <w:rPr>
          <w:rFonts w:ascii="Times New Roman" w:hAnsi="Times New Roman" w:cs="Times New Roman"/>
          <w:b/>
          <w:sz w:val="32"/>
        </w:rPr>
        <w:t>Education is Essential for Transparent Public Institutions</w:t>
      </w:r>
      <w:r>
        <w:rPr>
          <w:rFonts w:ascii="Times New Roman" w:hAnsi="Times New Roman" w:cs="Times New Roman"/>
          <w:b/>
          <w:sz w:val="32"/>
        </w:rPr>
        <w:t>!</w:t>
      </w:r>
    </w:p>
    <w:p w:rsidR="00933DE6" w:rsidRPr="00933DE6" w:rsidRDefault="00933DE6" w:rsidP="00933DE6">
      <w:pPr>
        <w:spacing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33DE6">
        <w:rPr>
          <w:rFonts w:ascii="Times New Roman" w:hAnsi="Times New Roman" w:cs="Times New Roman"/>
          <w:i/>
          <w:sz w:val="28"/>
          <w:szCs w:val="28"/>
        </w:rPr>
        <w:t>- The ACRC announced the results of the 2025 inspection on anti-corruption education in public institutions… 96.7% of all public officials and 97.8% of high-ranking officials completed anti-corruption education</w:t>
      </w:r>
    </w:p>
    <w:p w:rsidR="00933DE6" w:rsidRPr="00933DE6" w:rsidRDefault="00933DE6" w:rsidP="00933DE6">
      <w:pPr>
        <w:spacing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33DE6">
        <w:rPr>
          <w:rFonts w:ascii="Times New Roman" w:hAnsi="Times New Roman" w:cs="Times New Roman"/>
          <w:i/>
          <w:sz w:val="28"/>
          <w:szCs w:val="28"/>
        </w:rPr>
        <w:t>- The ACRC Confirmed that anti-corruption education has successfully taken root in the public sector over the past 10 years of mandatory education… Special training will be conducted for institutions with poor completion rates</w:t>
      </w:r>
    </w:p>
    <w:p w:rsidR="00933DE6" w:rsidRPr="008A0359" w:rsidRDefault="00933DE6" w:rsidP="00933DE6">
      <w:pPr>
        <w:spacing w:line="360" w:lineRule="auto"/>
        <w:jc w:val="right"/>
        <w:rPr>
          <w:rFonts w:ascii="Times New Roman" w:hAnsi="Times New Roman" w:cs="Times New Roman"/>
          <w:sz w:val="8"/>
        </w:rPr>
      </w:pPr>
    </w:p>
    <w:p w:rsidR="00933DE6" w:rsidRPr="00933DE6" w:rsidRDefault="00933DE6" w:rsidP="00933DE6">
      <w:pPr>
        <w:wordWrap/>
        <w:spacing w:before="200" w:after="400" w:line="360" w:lineRule="auto"/>
        <w:jc w:val="right"/>
        <w:textAlignment w:val="baseline"/>
        <w:rPr>
          <w:rFonts w:ascii="Times New Roman" w:eastAsia="휴먼명조" w:hAnsi="Times New Roman" w:cs="Times New Roman"/>
          <w:color w:val="000000"/>
          <w:kern w:val="0"/>
          <w:szCs w:val="24"/>
        </w:rPr>
      </w:pPr>
      <w:r w:rsidRPr="00933DE6">
        <w:rPr>
          <w:rFonts w:ascii="Times New Roman" w:eastAsia="휴먼명조" w:hAnsi="Times New Roman" w:cs="Times New Roman"/>
          <w:color w:val="000000"/>
          <w:kern w:val="0"/>
          <w:szCs w:val="24"/>
        </w:rPr>
        <w:t>(</w:t>
      </w:r>
      <w:r w:rsidRPr="00933DE6">
        <w:rPr>
          <w:rFonts w:ascii="Times New Roman" w:eastAsia="휴먼명조" w:hAnsi="Times New Roman" w:cs="Times New Roman" w:hint="eastAsia"/>
          <w:color w:val="000000"/>
          <w:kern w:val="0"/>
          <w:szCs w:val="24"/>
        </w:rPr>
        <w:t>June</w:t>
      </w:r>
      <w:r w:rsidRPr="00933DE6">
        <w:rPr>
          <w:rFonts w:ascii="Times New Roman" w:eastAsia="휴먼명조" w:hAnsi="Times New Roman" w:cs="Times New Roman"/>
          <w:color w:val="000000"/>
          <w:kern w:val="0"/>
          <w:szCs w:val="24"/>
        </w:rPr>
        <w:t xml:space="preserve"> 2</w:t>
      </w:r>
      <w:r w:rsidRPr="00933DE6">
        <w:rPr>
          <w:rFonts w:ascii="Times New Roman" w:eastAsia="휴먼명조" w:hAnsi="Times New Roman" w:cs="Times New Roman" w:hint="eastAsia"/>
          <w:color w:val="000000"/>
          <w:kern w:val="0"/>
          <w:szCs w:val="24"/>
        </w:rPr>
        <w:t>9</w:t>
      </w:r>
      <w:r w:rsidRPr="00933DE6">
        <w:rPr>
          <w:rFonts w:ascii="Times New Roman" w:eastAsia="휴먼명조" w:hAnsi="Times New Roman" w:cs="Times New Roman"/>
          <w:color w:val="000000"/>
          <w:kern w:val="0"/>
          <w:szCs w:val="24"/>
        </w:rPr>
        <w:t>, 2026, ACRC)</w:t>
      </w:r>
    </w:p>
    <w:p w:rsidR="00933DE6" w:rsidRPr="00933DE6" w:rsidRDefault="00933DE6" w:rsidP="00933DE6">
      <w:pPr>
        <w:spacing w:before="240" w:line="276" w:lineRule="auto"/>
        <w:rPr>
          <w:rFonts w:ascii="Times New Roman" w:hAnsi="Times New Roman" w:cs="Times New Roman"/>
          <w:sz w:val="24"/>
          <w:szCs w:val="28"/>
        </w:rPr>
      </w:pPr>
      <w:r w:rsidRPr="00933DE6">
        <w:rPr>
          <w:rFonts w:ascii="Times New Roman" w:hAnsi="Times New Roman" w:cs="Times New Roman"/>
          <w:sz w:val="24"/>
          <w:szCs w:val="28"/>
        </w:rPr>
        <w:t>The Anti-Corruption and Civil Rights Commission (ACRC, Chairperson J</w:t>
      </w:r>
      <w:r w:rsidRPr="00933DE6">
        <w:rPr>
          <w:rFonts w:ascii="Times New Roman" w:hAnsi="Times New Roman" w:cs="Times New Roman" w:hint="eastAsia"/>
          <w:sz w:val="24"/>
          <w:szCs w:val="28"/>
        </w:rPr>
        <w:t>u</w:t>
      </w:r>
      <w:r w:rsidRPr="00933DE6">
        <w:rPr>
          <w:rFonts w:ascii="Times New Roman" w:hAnsi="Times New Roman" w:cs="Times New Roman"/>
          <w:sz w:val="24"/>
          <w:szCs w:val="28"/>
        </w:rPr>
        <w:t xml:space="preserve">ng Il Yeon) announced today (the 29th) the </w:t>
      </w:r>
      <w:r w:rsidR="00D72F5C">
        <w:rPr>
          <w:rFonts w:ascii="Times New Roman" w:hAnsi="Times New Roman" w:cs="Times New Roman"/>
          <w:sz w:val="24"/>
          <w:szCs w:val="28"/>
        </w:rPr>
        <w:t>‘</w:t>
      </w:r>
      <w:r w:rsidRPr="00933DE6">
        <w:rPr>
          <w:rFonts w:ascii="Times New Roman" w:hAnsi="Times New Roman" w:cs="Times New Roman"/>
          <w:sz w:val="24"/>
          <w:szCs w:val="28"/>
        </w:rPr>
        <w:t>Results of the 2025 Inspection on the Completion Status of Anti-Corruption Education in Public Institutions.</w:t>
      </w:r>
      <w:r w:rsidR="00D72F5C">
        <w:rPr>
          <w:rFonts w:ascii="Times New Roman" w:hAnsi="Times New Roman" w:cs="Times New Roman"/>
          <w:sz w:val="24"/>
          <w:szCs w:val="28"/>
        </w:rPr>
        <w:t>’</w:t>
      </w:r>
      <w:bookmarkStart w:id="0" w:name="_GoBack"/>
      <w:bookmarkEnd w:id="0"/>
      <w:r w:rsidRPr="00933DE6">
        <w:rPr>
          <w:rFonts w:ascii="Times New Roman" w:hAnsi="Times New Roman" w:cs="Times New Roman"/>
          <w:sz w:val="24"/>
          <w:szCs w:val="28"/>
        </w:rPr>
        <w:t xml:space="preserve"> </w:t>
      </w:r>
    </w:p>
    <w:p w:rsidR="00933DE6" w:rsidRPr="00933DE6" w:rsidRDefault="00933DE6" w:rsidP="00933DE6">
      <w:pPr>
        <w:spacing w:before="240" w:line="276" w:lineRule="auto"/>
        <w:rPr>
          <w:rFonts w:ascii="Times New Roman" w:hAnsi="Times New Roman" w:cs="Times New Roman"/>
          <w:sz w:val="24"/>
          <w:szCs w:val="28"/>
        </w:rPr>
      </w:pPr>
      <w:r w:rsidRPr="00933DE6">
        <w:rPr>
          <w:rFonts w:ascii="Times New Roman" w:hAnsi="Times New Roman" w:cs="Times New Roman"/>
          <w:sz w:val="24"/>
          <w:szCs w:val="28"/>
        </w:rPr>
        <w:t>As anti-corruption education was designated as a legally mandatory course in 2016, public officials belonging to public institutions must complete at least 2 hours of education every year, and high-ranking officials, new recruits, and promoted personnel must complete at least 1 hour of face-to-face education annually.</w:t>
      </w:r>
    </w:p>
    <w:p w:rsidR="00933DE6" w:rsidRPr="00933DE6" w:rsidRDefault="00933DE6" w:rsidP="00933DE6">
      <w:pPr>
        <w:spacing w:before="240" w:line="276" w:lineRule="auto"/>
        <w:rPr>
          <w:rFonts w:ascii="Times New Roman" w:hAnsi="Times New Roman" w:cs="Times New Roman"/>
          <w:sz w:val="24"/>
          <w:szCs w:val="28"/>
        </w:rPr>
      </w:pPr>
      <w:r w:rsidRPr="00933DE6">
        <w:rPr>
          <w:rFonts w:ascii="Times New Roman" w:hAnsi="Times New Roman" w:cs="Times New Roman"/>
          <w:sz w:val="24"/>
          <w:szCs w:val="28"/>
        </w:rPr>
        <w:t>The ACRC inspected whether 2,242 public institutions completed their anti-corruption education last year</w:t>
      </w:r>
      <w:r w:rsidRPr="00933DE6">
        <w:rPr>
          <w:rFonts w:ascii="Times New Roman" w:hAnsi="Times New Roman" w:cs="Times New Roman" w:hint="eastAsia"/>
          <w:sz w:val="24"/>
          <w:szCs w:val="28"/>
        </w:rPr>
        <w:t>,</w:t>
      </w:r>
      <w:r w:rsidRPr="00933DE6">
        <w:rPr>
          <w:rFonts w:ascii="Times New Roman" w:hAnsi="Times New Roman" w:cs="Times New Roman"/>
          <w:sz w:val="24"/>
          <w:szCs w:val="28"/>
        </w:rPr>
        <w:t xml:space="preserve"> </w:t>
      </w:r>
      <w:r w:rsidRPr="00933DE6">
        <w:rPr>
          <w:rFonts w:ascii="Times New Roman" w:hAnsi="Times New Roman" w:cs="Times New Roman" w:hint="eastAsia"/>
          <w:sz w:val="24"/>
          <w:szCs w:val="28"/>
        </w:rPr>
        <w:t>and</w:t>
      </w:r>
      <w:r w:rsidRPr="00933DE6">
        <w:rPr>
          <w:rFonts w:ascii="Times New Roman" w:hAnsi="Times New Roman" w:cs="Times New Roman"/>
          <w:sz w:val="24"/>
          <w:szCs w:val="28"/>
        </w:rPr>
        <w:t xml:space="preserve"> </w:t>
      </w:r>
      <w:r w:rsidRPr="00933DE6">
        <w:rPr>
          <w:rFonts w:ascii="Times New Roman" w:hAnsi="Times New Roman" w:cs="Times New Roman" w:hint="eastAsia"/>
          <w:sz w:val="24"/>
          <w:szCs w:val="28"/>
        </w:rPr>
        <w:t>t</w:t>
      </w:r>
      <w:r w:rsidRPr="00933DE6">
        <w:rPr>
          <w:rFonts w:ascii="Times New Roman" w:hAnsi="Times New Roman" w:cs="Times New Roman"/>
          <w:sz w:val="24"/>
          <w:szCs w:val="28"/>
        </w:rPr>
        <w:t>he results showed that the completion rate for all public officials was 96.7%, with 1.77 million out of a total of 1.83 million officials completing the training, confirming that anti-corruption education has firmly established itself in the public sector.</w:t>
      </w:r>
    </w:p>
    <w:p w:rsidR="00933DE6" w:rsidRPr="00933DE6" w:rsidRDefault="00933DE6" w:rsidP="00933DE6">
      <w:pPr>
        <w:spacing w:before="240" w:line="276" w:lineRule="auto"/>
        <w:rPr>
          <w:rFonts w:ascii="Times New Roman" w:hAnsi="Times New Roman" w:cs="Times New Roman"/>
          <w:sz w:val="24"/>
          <w:szCs w:val="28"/>
        </w:rPr>
      </w:pPr>
      <w:r w:rsidRPr="00933DE6">
        <w:rPr>
          <w:rFonts w:ascii="Times New Roman" w:hAnsi="Times New Roman" w:cs="Times New Roman"/>
          <w:sz w:val="24"/>
          <w:szCs w:val="28"/>
        </w:rPr>
        <w:t xml:space="preserve">The completion rate for public officials in 2025 was 96.7%, up 0.7 percentage points compared to 2024. This represents an 11.4 </w:t>
      </w:r>
      <w:r w:rsidRPr="00933DE6">
        <w:rPr>
          <w:rFonts w:ascii="Times New Roman" w:hAnsi="Times New Roman" w:cs="Times New Roman" w:hint="eastAsia"/>
          <w:sz w:val="24"/>
          <w:szCs w:val="28"/>
        </w:rPr>
        <w:t>percentage</w:t>
      </w:r>
      <w:r w:rsidRPr="00933DE6">
        <w:rPr>
          <w:rFonts w:ascii="Times New Roman" w:hAnsi="Times New Roman" w:cs="Times New Roman"/>
          <w:sz w:val="24"/>
          <w:szCs w:val="28"/>
        </w:rPr>
        <w:t xml:space="preserve"> </w:t>
      </w:r>
      <w:r w:rsidRPr="00933DE6">
        <w:rPr>
          <w:rFonts w:ascii="Times New Roman" w:hAnsi="Times New Roman" w:cs="Times New Roman" w:hint="eastAsia"/>
          <w:sz w:val="24"/>
          <w:szCs w:val="28"/>
        </w:rPr>
        <w:t>points</w:t>
      </w:r>
      <w:r w:rsidRPr="00933DE6">
        <w:rPr>
          <w:rFonts w:ascii="Times New Roman" w:hAnsi="Times New Roman" w:cs="Times New Roman"/>
          <w:sz w:val="24"/>
          <w:szCs w:val="28"/>
        </w:rPr>
        <w:t xml:space="preserve"> increase compared to the 85.3% completion rate first recorded in 2016 when the education became mandatory. The completion rate for high-ranking officials was 97.8%, up 0.7 percentage points from the previous year, while the rate for new recruits and promoted personnel was 92.6%, a slight decrease of 0.2 percentage points </w:t>
      </w:r>
      <w:r w:rsidRPr="00933DE6">
        <w:rPr>
          <w:rFonts w:ascii="Times New Roman" w:hAnsi="Times New Roman" w:cs="Times New Roman" w:hint="eastAsia"/>
          <w:sz w:val="24"/>
          <w:szCs w:val="28"/>
        </w:rPr>
        <w:t>from</w:t>
      </w:r>
      <w:r w:rsidRPr="00933DE6">
        <w:rPr>
          <w:rFonts w:ascii="Times New Roman" w:hAnsi="Times New Roman" w:cs="Times New Roman"/>
          <w:sz w:val="24"/>
          <w:szCs w:val="28"/>
        </w:rPr>
        <w:t xml:space="preserve"> </w:t>
      </w:r>
      <w:r w:rsidRPr="00933DE6">
        <w:rPr>
          <w:rFonts w:ascii="Times New Roman" w:hAnsi="Times New Roman" w:cs="Times New Roman" w:hint="eastAsia"/>
          <w:sz w:val="24"/>
          <w:szCs w:val="28"/>
        </w:rPr>
        <w:t>a</w:t>
      </w:r>
      <w:r w:rsidRPr="00933DE6">
        <w:rPr>
          <w:rFonts w:ascii="Times New Roman" w:hAnsi="Times New Roman" w:cs="Times New Roman"/>
          <w:sz w:val="24"/>
          <w:szCs w:val="28"/>
        </w:rPr>
        <w:t xml:space="preserve"> </w:t>
      </w:r>
      <w:r w:rsidRPr="00933DE6">
        <w:rPr>
          <w:rFonts w:ascii="Times New Roman" w:hAnsi="Times New Roman" w:cs="Times New Roman" w:hint="eastAsia"/>
          <w:sz w:val="24"/>
          <w:szCs w:val="28"/>
        </w:rPr>
        <w:t>year</w:t>
      </w:r>
      <w:r w:rsidRPr="00933DE6">
        <w:rPr>
          <w:rFonts w:ascii="Times New Roman" w:hAnsi="Times New Roman" w:cs="Times New Roman"/>
          <w:sz w:val="24"/>
          <w:szCs w:val="28"/>
        </w:rPr>
        <w:t xml:space="preserve"> </w:t>
      </w:r>
      <w:r w:rsidRPr="00933DE6">
        <w:rPr>
          <w:rFonts w:ascii="Times New Roman" w:hAnsi="Times New Roman" w:cs="Times New Roman" w:hint="eastAsia"/>
          <w:sz w:val="24"/>
          <w:szCs w:val="28"/>
        </w:rPr>
        <w:t>earlier.</w:t>
      </w:r>
    </w:p>
    <w:p w:rsidR="00933DE6" w:rsidRDefault="00933DE6" w:rsidP="00933DE6">
      <w:pPr>
        <w:spacing w:before="240" w:line="276" w:lineRule="auto"/>
        <w:rPr>
          <w:rFonts w:ascii="Times New Roman" w:hAnsi="Times New Roman" w:cs="Times New Roman"/>
          <w:sz w:val="24"/>
          <w:szCs w:val="28"/>
        </w:rPr>
      </w:pPr>
      <w:r w:rsidRPr="00933DE6">
        <w:rPr>
          <w:rFonts w:ascii="Times New Roman" w:hAnsi="Times New Roman" w:cs="Times New Roman"/>
          <w:sz w:val="24"/>
          <w:szCs w:val="28"/>
        </w:rPr>
        <w:t>By type of public institution, Offices of Education recorded the highest completion rate at 99.1% of all public officials, whereas national and public universities showed the lowest rate at 83.0%. For national and public universities, which have relatively poor completion rates, the ACRC plans to boost participation through continuous special management, such as inspecting quarterly educational performance.</w:t>
      </w:r>
    </w:p>
    <w:p w:rsidR="00933DE6" w:rsidRPr="00933DE6" w:rsidRDefault="00933DE6" w:rsidP="00933DE6">
      <w:pPr>
        <w:spacing w:before="240" w:line="276" w:lineRule="auto"/>
        <w:rPr>
          <w:rFonts w:ascii="Times New Roman" w:hAnsi="Times New Roman" w:cs="Times New Roman" w:hint="eastAsia"/>
          <w:sz w:val="24"/>
          <w:szCs w:val="28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52"/>
        <w:gridCol w:w="1978"/>
        <w:gridCol w:w="1978"/>
        <w:gridCol w:w="1978"/>
      </w:tblGrid>
      <w:tr w:rsidR="00933DE6" w:rsidRPr="002C2E5A" w:rsidTr="006725F4">
        <w:trPr>
          <w:trHeight w:val="296"/>
        </w:trPr>
        <w:tc>
          <w:tcPr>
            <w:tcW w:w="3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33DE6" w:rsidRPr="00933DE6" w:rsidRDefault="00933DE6" w:rsidP="00933DE6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33DE6">
              <w:rPr>
                <w:rFonts w:ascii="Times New Roman" w:hAnsi="Times New Roman" w:cs="Times New Roman"/>
                <w:b/>
                <w:sz w:val="24"/>
                <w:szCs w:val="28"/>
              </w:rPr>
              <w:lastRenderedPageBreak/>
              <w:t>C</w:t>
            </w:r>
            <w:r w:rsidRPr="00933DE6">
              <w:rPr>
                <w:rFonts w:ascii="Times New Roman" w:hAnsi="Times New Roman" w:cs="Times New Roman" w:hint="eastAsia"/>
                <w:b/>
                <w:sz w:val="24"/>
                <w:szCs w:val="28"/>
              </w:rPr>
              <w:t>ategory</w:t>
            </w:r>
          </w:p>
        </w:tc>
        <w:tc>
          <w:tcPr>
            <w:tcW w:w="1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33DE6" w:rsidRPr="00933DE6" w:rsidRDefault="00933DE6" w:rsidP="00933DE6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33DE6">
              <w:rPr>
                <w:rFonts w:ascii="Times New Roman" w:hAnsi="Times New Roman" w:cs="Times New Roman"/>
                <w:b/>
                <w:sz w:val="24"/>
                <w:szCs w:val="28"/>
              </w:rPr>
              <w:t>All Public Institutions</w:t>
            </w:r>
          </w:p>
        </w:tc>
        <w:tc>
          <w:tcPr>
            <w:tcW w:w="1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33DE6" w:rsidRPr="00933DE6" w:rsidRDefault="00933DE6" w:rsidP="00933DE6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33DE6">
              <w:rPr>
                <w:rFonts w:ascii="Times New Roman" w:hAnsi="Times New Roman" w:cs="Times New Roman"/>
                <w:b/>
                <w:sz w:val="24"/>
                <w:szCs w:val="28"/>
              </w:rPr>
              <w:t>Offices of Education</w:t>
            </w:r>
          </w:p>
        </w:tc>
        <w:tc>
          <w:tcPr>
            <w:tcW w:w="1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33DE6" w:rsidRPr="00933DE6" w:rsidRDefault="00933DE6" w:rsidP="00933DE6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33DE6">
              <w:rPr>
                <w:rFonts w:ascii="Times New Roman" w:hAnsi="Times New Roman" w:cs="Times New Roman"/>
                <w:b/>
                <w:sz w:val="24"/>
                <w:szCs w:val="28"/>
              </w:rPr>
              <w:t>National/Public Universities</w:t>
            </w:r>
          </w:p>
        </w:tc>
      </w:tr>
      <w:tr w:rsidR="00933DE6" w:rsidRPr="002C2E5A" w:rsidTr="00933DE6">
        <w:trPr>
          <w:trHeight w:val="952"/>
        </w:trPr>
        <w:tc>
          <w:tcPr>
            <w:tcW w:w="3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33DE6" w:rsidRPr="00933DE6" w:rsidRDefault="00933DE6" w:rsidP="00933DE6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33DE6">
              <w:rPr>
                <w:rFonts w:ascii="Times New Roman" w:hAnsi="Times New Roman" w:cs="Times New Roman"/>
                <w:b/>
                <w:sz w:val="24"/>
                <w:szCs w:val="28"/>
              </w:rPr>
              <w:t>Total Completion Rates</w:t>
            </w:r>
          </w:p>
        </w:tc>
        <w:tc>
          <w:tcPr>
            <w:tcW w:w="1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33DE6" w:rsidRPr="00933DE6" w:rsidRDefault="00933DE6" w:rsidP="00933DE6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33DE6">
              <w:rPr>
                <w:rFonts w:ascii="Times New Roman" w:hAnsi="Times New Roman" w:cs="Times New Roman"/>
                <w:sz w:val="24"/>
                <w:szCs w:val="28"/>
              </w:rPr>
              <w:t>96.7%</w:t>
            </w:r>
          </w:p>
        </w:tc>
        <w:tc>
          <w:tcPr>
            <w:tcW w:w="1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33DE6" w:rsidRPr="00933DE6" w:rsidRDefault="00933DE6" w:rsidP="00933DE6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33DE6">
              <w:rPr>
                <w:rFonts w:ascii="Times New Roman" w:hAnsi="Times New Roman" w:cs="Times New Roman"/>
                <w:sz w:val="24"/>
                <w:szCs w:val="28"/>
              </w:rPr>
              <w:t>99.1%</w:t>
            </w:r>
          </w:p>
        </w:tc>
        <w:tc>
          <w:tcPr>
            <w:tcW w:w="1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33DE6" w:rsidRPr="00933DE6" w:rsidRDefault="00933DE6" w:rsidP="00933DE6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33DE6">
              <w:rPr>
                <w:rFonts w:ascii="Times New Roman" w:hAnsi="Times New Roman" w:cs="Times New Roman"/>
                <w:sz w:val="24"/>
                <w:szCs w:val="28"/>
              </w:rPr>
              <w:t>83.0%</w:t>
            </w:r>
          </w:p>
        </w:tc>
      </w:tr>
      <w:tr w:rsidR="00933DE6" w:rsidRPr="002C2E5A" w:rsidTr="00933DE6">
        <w:trPr>
          <w:trHeight w:val="952"/>
        </w:trPr>
        <w:tc>
          <w:tcPr>
            <w:tcW w:w="3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33DE6" w:rsidRPr="00933DE6" w:rsidRDefault="00933DE6" w:rsidP="00933DE6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33DE6">
              <w:rPr>
                <w:rFonts w:ascii="Times New Roman" w:hAnsi="Times New Roman" w:cs="Times New Roman"/>
                <w:b/>
                <w:sz w:val="24"/>
                <w:szCs w:val="28"/>
              </w:rPr>
              <w:t>Completion Rates for High-Ranking Officials</w:t>
            </w:r>
          </w:p>
        </w:tc>
        <w:tc>
          <w:tcPr>
            <w:tcW w:w="1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33DE6" w:rsidRPr="00933DE6" w:rsidRDefault="00933DE6" w:rsidP="00933DE6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33DE6">
              <w:rPr>
                <w:rFonts w:ascii="Times New Roman" w:hAnsi="Times New Roman" w:cs="Times New Roman"/>
                <w:sz w:val="24"/>
                <w:szCs w:val="28"/>
              </w:rPr>
              <w:t>97.8%</w:t>
            </w:r>
          </w:p>
        </w:tc>
        <w:tc>
          <w:tcPr>
            <w:tcW w:w="1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33DE6" w:rsidRPr="00933DE6" w:rsidRDefault="00933DE6" w:rsidP="00933DE6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33DE6">
              <w:rPr>
                <w:rFonts w:ascii="Times New Roman" w:hAnsi="Times New Roman" w:cs="Times New Roman"/>
                <w:sz w:val="24"/>
                <w:szCs w:val="28"/>
              </w:rPr>
              <w:t>99.8%</w:t>
            </w:r>
          </w:p>
        </w:tc>
        <w:tc>
          <w:tcPr>
            <w:tcW w:w="1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33DE6" w:rsidRPr="00933DE6" w:rsidRDefault="00933DE6" w:rsidP="00933DE6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33DE6">
              <w:rPr>
                <w:rFonts w:ascii="Times New Roman" w:hAnsi="Times New Roman" w:cs="Times New Roman"/>
                <w:sz w:val="24"/>
                <w:szCs w:val="28"/>
              </w:rPr>
              <w:t>93.8%</w:t>
            </w:r>
          </w:p>
        </w:tc>
      </w:tr>
      <w:tr w:rsidR="00933DE6" w:rsidRPr="002C2E5A" w:rsidTr="00933DE6">
        <w:trPr>
          <w:trHeight w:val="952"/>
        </w:trPr>
        <w:tc>
          <w:tcPr>
            <w:tcW w:w="3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33DE6" w:rsidRPr="00933DE6" w:rsidRDefault="00933DE6" w:rsidP="00933DE6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33DE6">
              <w:rPr>
                <w:rFonts w:ascii="Times New Roman" w:hAnsi="Times New Roman" w:cs="Times New Roman"/>
                <w:b/>
                <w:sz w:val="24"/>
                <w:szCs w:val="28"/>
              </w:rPr>
              <w:t>Completion Rates for New Recruits &amp; Promoted Personnel</w:t>
            </w:r>
          </w:p>
        </w:tc>
        <w:tc>
          <w:tcPr>
            <w:tcW w:w="1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33DE6" w:rsidRPr="00933DE6" w:rsidRDefault="00933DE6" w:rsidP="00933DE6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33DE6">
              <w:rPr>
                <w:rFonts w:ascii="Times New Roman" w:hAnsi="Times New Roman" w:cs="Times New Roman"/>
                <w:sz w:val="24"/>
                <w:szCs w:val="28"/>
              </w:rPr>
              <w:t>92.6%</w:t>
            </w:r>
          </w:p>
        </w:tc>
        <w:tc>
          <w:tcPr>
            <w:tcW w:w="1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33DE6" w:rsidRPr="00933DE6" w:rsidRDefault="00933DE6" w:rsidP="00933DE6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33DE6">
              <w:rPr>
                <w:rFonts w:ascii="Times New Roman" w:hAnsi="Times New Roman" w:cs="Times New Roman"/>
                <w:sz w:val="24"/>
                <w:szCs w:val="28"/>
              </w:rPr>
              <w:t>98.3%</w:t>
            </w:r>
          </w:p>
        </w:tc>
        <w:tc>
          <w:tcPr>
            <w:tcW w:w="1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33DE6" w:rsidRPr="00933DE6" w:rsidRDefault="00933DE6" w:rsidP="00933DE6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33DE6">
              <w:rPr>
                <w:rFonts w:ascii="Times New Roman" w:hAnsi="Times New Roman" w:cs="Times New Roman"/>
                <w:sz w:val="24"/>
                <w:szCs w:val="28"/>
              </w:rPr>
              <w:t>86.8%</w:t>
            </w:r>
          </w:p>
        </w:tc>
      </w:tr>
    </w:tbl>
    <w:p w:rsidR="00933DE6" w:rsidRDefault="00933DE6" w:rsidP="00933DE6">
      <w:pPr>
        <w:spacing w:line="276" w:lineRule="auto"/>
        <w:rPr>
          <w:rFonts w:ascii="Times New Roman" w:hAnsi="Times New Roman" w:cs="Times New Roman"/>
          <w:sz w:val="28"/>
        </w:rPr>
      </w:pPr>
    </w:p>
    <w:p w:rsidR="00933DE6" w:rsidRPr="00933DE6" w:rsidRDefault="00933DE6" w:rsidP="00933DE6">
      <w:pPr>
        <w:spacing w:before="240" w:line="276" w:lineRule="auto"/>
        <w:rPr>
          <w:rFonts w:ascii="Times New Roman" w:hAnsi="Times New Roman" w:cs="Times New Roman"/>
          <w:sz w:val="24"/>
          <w:szCs w:val="28"/>
        </w:rPr>
      </w:pPr>
      <w:r w:rsidRPr="00933DE6">
        <w:rPr>
          <w:rFonts w:ascii="Times New Roman" w:hAnsi="Times New Roman" w:cs="Times New Roman"/>
          <w:sz w:val="24"/>
          <w:szCs w:val="28"/>
        </w:rPr>
        <w:t>In addition, out of 2,242 public institutions, 958 institutions (42.7%) achieved a 100% education completion rate, while 130 institutions were identified as underperforming institutions*. Underperforming institutions will be required to submit an education implementation plan in July, and special training for department heads will be conducted.</w:t>
      </w:r>
    </w:p>
    <w:p w:rsidR="00933DE6" w:rsidRPr="00933DE6" w:rsidRDefault="00933DE6" w:rsidP="00933DE6">
      <w:pPr>
        <w:spacing w:after="0" w:line="276" w:lineRule="auto"/>
        <w:ind w:leftChars="200" w:left="400"/>
        <w:rPr>
          <w:rFonts w:ascii="Times New Roman" w:hAnsi="Times New Roman" w:cs="Times New Roman"/>
          <w:sz w:val="22"/>
          <w:szCs w:val="24"/>
        </w:rPr>
      </w:pPr>
      <w:r w:rsidRPr="00933DE6">
        <w:rPr>
          <w:rFonts w:ascii="Times New Roman" w:hAnsi="Times New Roman" w:cs="Times New Roman"/>
          <w:sz w:val="22"/>
          <w:szCs w:val="24"/>
        </w:rPr>
        <w:t>* Criteria for Underperforming Institutions: Institutions that fall under at least one of the following thresholds: less than 75% for all public officials, less than 80% for high-ranking officials, or less than 80% for new recruits/promoted personnel.</w:t>
      </w:r>
    </w:p>
    <w:p w:rsidR="00933DE6" w:rsidRPr="00933DE6" w:rsidRDefault="00933DE6" w:rsidP="00933DE6">
      <w:pPr>
        <w:spacing w:after="0" w:line="276" w:lineRule="auto"/>
        <w:ind w:leftChars="200" w:left="400"/>
        <w:rPr>
          <w:rFonts w:ascii="Times New Roman" w:hAnsi="Times New Roman" w:cs="Times New Roman"/>
          <w:sz w:val="22"/>
          <w:szCs w:val="24"/>
        </w:rPr>
      </w:pPr>
      <w:r w:rsidRPr="00933DE6">
        <w:rPr>
          <w:rFonts w:ascii="Times New Roman" w:hAnsi="Times New Roman" w:cs="Times New Roman"/>
          <w:sz w:val="22"/>
          <w:szCs w:val="24"/>
        </w:rPr>
        <w:t xml:space="preserve">* The number of underperforming institutions has steadily decreased over the past three years: 268 in 2023 </w:t>
      </w:r>
      <w:r w:rsidRPr="00933DE6">
        <w:rPr>
          <w:rFonts w:ascii="Times New Roman" w:hAnsi="Times New Roman" w:cs="Times New Roman" w:hint="eastAsia"/>
          <w:sz w:val="22"/>
          <w:szCs w:val="24"/>
        </w:rPr>
        <w:t>→</w:t>
      </w:r>
      <w:r w:rsidRPr="00933DE6">
        <w:rPr>
          <w:rFonts w:ascii="Times New Roman" w:hAnsi="Times New Roman" w:cs="Times New Roman" w:hint="eastAsia"/>
          <w:sz w:val="22"/>
          <w:szCs w:val="24"/>
        </w:rPr>
        <w:t xml:space="preserve"> </w:t>
      </w:r>
      <w:r w:rsidRPr="00933DE6">
        <w:rPr>
          <w:rFonts w:ascii="Times New Roman" w:hAnsi="Times New Roman" w:cs="Times New Roman"/>
          <w:sz w:val="22"/>
          <w:szCs w:val="24"/>
        </w:rPr>
        <w:t xml:space="preserve">153 in 2024 </w:t>
      </w:r>
      <w:r w:rsidRPr="00933DE6">
        <w:rPr>
          <w:rFonts w:ascii="Times New Roman" w:hAnsi="Times New Roman" w:cs="Times New Roman" w:hint="eastAsia"/>
          <w:sz w:val="22"/>
          <w:szCs w:val="24"/>
        </w:rPr>
        <w:t>→</w:t>
      </w:r>
      <w:r w:rsidRPr="00933DE6">
        <w:rPr>
          <w:rFonts w:ascii="Times New Roman" w:hAnsi="Times New Roman" w:cs="Times New Roman" w:hint="eastAsia"/>
          <w:sz w:val="22"/>
          <w:szCs w:val="24"/>
        </w:rPr>
        <w:t xml:space="preserve"> </w:t>
      </w:r>
      <w:r w:rsidRPr="00933DE6">
        <w:rPr>
          <w:rFonts w:ascii="Times New Roman" w:hAnsi="Times New Roman" w:cs="Times New Roman"/>
          <w:sz w:val="22"/>
          <w:szCs w:val="24"/>
        </w:rPr>
        <w:t>130 in 2025</w:t>
      </w:r>
    </w:p>
    <w:p w:rsidR="00933DE6" w:rsidRPr="00933DE6" w:rsidRDefault="00933DE6" w:rsidP="00933DE6">
      <w:pPr>
        <w:spacing w:before="240" w:line="276" w:lineRule="auto"/>
        <w:rPr>
          <w:rFonts w:ascii="Times New Roman" w:hAnsi="Times New Roman" w:cs="Times New Roman"/>
          <w:sz w:val="24"/>
          <w:szCs w:val="28"/>
        </w:rPr>
      </w:pPr>
      <w:r w:rsidRPr="00933DE6">
        <w:rPr>
          <w:rFonts w:ascii="Times New Roman" w:hAnsi="Times New Roman" w:cs="Times New Roman"/>
          <w:sz w:val="24"/>
          <w:szCs w:val="28"/>
        </w:rPr>
        <w:t>In particular, 64 institutions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933DE6">
        <w:rPr>
          <w:rFonts w:ascii="Times New Roman" w:hAnsi="Times New Roman" w:cs="Times New Roman"/>
          <w:sz w:val="24"/>
          <w:szCs w:val="28"/>
        </w:rPr>
        <w:t>—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933DE6">
        <w:rPr>
          <w:rFonts w:ascii="Times New Roman" w:hAnsi="Times New Roman" w:cs="Times New Roman"/>
          <w:sz w:val="24"/>
          <w:szCs w:val="28"/>
        </w:rPr>
        <w:t>accounting for 49.2% of the 130 underperforming institutions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933DE6">
        <w:rPr>
          <w:rFonts w:ascii="Times New Roman" w:hAnsi="Times New Roman" w:cs="Times New Roman"/>
          <w:sz w:val="24"/>
          <w:szCs w:val="28"/>
        </w:rPr>
        <w:t>—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933DE6">
        <w:rPr>
          <w:rFonts w:ascii="Times New Roman" w:hAnsi="Times New Roman" w:cs="Times New Roman"/>
          <w:sz w:val="24"/>
          <w:szCs w:val="28"/>
        </w:rPr>
        <w:t>were found to be small-scale institutions with 50 or fewer employees or newly designated public service-related organizations.</w:t>
      </w:r>
    </w:p>
    <w:p w:rsidR="00933DE6" w:rsidRPr="00933DE6" w:rsidRDefault="00933DE6" w:rsidP="00933DE6">
      <w:pPr>
        <w:spacing w:before="240" w:line="276" w:lineRule="auto"/>
        <w:rPr>
          <w:rFonts w:ascii="Times New Roman" w:hAnsi="Times New Roman" w:cs="Times New Roman"/>
          <w:sz w:val="24"/>
          <w:szCs w:val="28"/>
        </w:rPr>
      </w:pPr>
      <w:r w:rsidRPr="00933DE6">
        <w:rPr>
          <w:rFonts w:ascii="Times New Roman" w:hAnsi="Times New Roman" w:cs="Times New Roman"/>
          <w:sz w:val="24"/>
          <w:szCs w:val="28"/>
        </w:rPr>
        <w:t>The average completion rates for these institutions were relatively low, standing at 64.5% for all public officials, 58.9% for high-ranking officials, and 44.8% for new recruits and promoted personnel. Accordingly, the ACRC has distributed “Special Educational Materials on Anti-Corruption Laws” and plans to actively promote “On-Site Anti-Corruption Education” for these organizations.</w:t>
      </w:r>
    </w:p>
    <w:p w:rsidR="00933DE6" w:rsidRPr="00933DE6" w:rsidRDefault="00933DE6" w:rsidP="00933DE6">
      <w:pPr>
        <w:spacing w:after="0" w:line="276" w:lineRule="auto"/>
        <w:ind w:leftChars="200" w:left="400"/>
        <w:rPr>
          <w:rFonts w:ascii="Times New Roman" w:hAnsi="Times New Roman" w:cs="Times New Roman"/>
          <w:sz w:val="22"/>
          <w:szCs w:val="24"/>
        </w:rPr>
      </w:pPr>
      <w:r w:rsidRPr="00933DE6">
        <w:rPr>
          <w:rFonts w:ascii="Times New Roman" w:hAnsi="Times New Roman" w:cs="Times New Roman"/>
          <w:sz w:val="22"/>
          <w:szCs w:val="24"/>
        </w:rPr>
        <w:t>※ On-Site Anti-Corruption Education: A program where the ACRC directly visits institutions to provide a 2-hour lecture on major anti-corruption laws and regulations.</w:t>
      </w:r>
    </w:p>
    <w:p w:rsidR="00933DE6" w:rsidRPr="00933DE6" w:rsidRDefault="00933DE6" w:rsidP="00933DE6">
      <w:pPr>
        <w:spacing w:before="240" w:line="276" w:lineRule="auto"/>
        <w:rPr>
          <w:rFonts w:ascii="Times New Roman" w:hAnsi="Times New Roman" w:cs="Times New Roman"/>
          <w:sz w:val="24"/>
          <w:szCs w:val="28"/>
        </w:rPr>
      </w:pPr>
      <w:r w:rsidRPr="00933DE6">
        <w:rPr>
          <w:rFonts w:ascii="Times New Roman" w:hAnsi="Times New Roman" w:cs="Times New Roman"/>
          <w:sz w:val="24"/>
          <w:szCs w:val="28"/>
        </w:rPr>
        <w:t>ACRC Chairperson J</w:t>
      </w:r>
      <w:r w:rsidRPr="00933DE6">
        <w:rPr>
          <w:rFonts w:ascii="Times New Roman" w:hAnsi="Times New Roman" w:cs="Times New Roman" w:hint="eastAsia"/>
          <w:sz w:val="24"/>
          <w:szCs w:val="28"/>
        </w:rPr>
        <w:t>u</w:t>
      </w:r>
      <w:r w:rsidRPr="00933DE6">
        <w:rPr>
          <w:rFonts w:ascii="Times New Roman" w:hAnsi="Times New Roman" w:cs="Times New Roman"/>
          <w:sz w:val="24"/>
          <w:szCs w:val="28"/>
        </w:rPr>
        <w:t xml:space="preserve">ng Il </w:t>
      </w:r>
      <w:r w:rsidRPr="00933DE6">
        <w:rPr>
          <w:rFonts w:ascii="Times New Roman" w:hAnsi="Times New Roman" w:cs="Times New Roman" w:hint="eastAsia"/>
          <w:sz w:val="24"/>
          <w:szCs w:val="28"/>
        </w:rPr>
        <w:t>Y</w:t>
      </w:r>
      <w:r w:rsidRPr="00933DE6">
        <w:rPr>
          <w:rFonts w:ascii="Times New Roman" w:hAnsi="Times New Roman" w:cs="Times New Roman"/>
          <w:sz w:val="24"/>
          <w:szCs w:val="28"/>
        </w:rPr>
        <w:t>eon stated, “Ten years after anti-corruption education was made mandatory for public officials, we have confirmed that it has steadily taken root, with the completion rate of all public officials reaching 96.7%.”</w:t>
      </w:r>
    </w:p>
    <w:p w:rsidR="00933DE6" w:rsidRPr="00933DE6" w:rsidRDefault="00933DE6" w:rsidP="00933DE6">
      <w:pPr>
        <w:spacing w:before="240" w:line="276" w:lineRule="auto"/>
        <w:rPr>
          <w:rFonts w:ascii="Times New Roman" w:hAnsi="Times New Roman" w:cs="Times New Roman"/>
          <w:sz w:val="24"/>
          <w:szCs w:val="28"/>
        </w:rPr>
      </w:pPr>
      <w:r w:rsidRPr="00933DE6">
        <w:rPr>
          <w:rFonts w:ascii="Times New Roman" w:hAnsi="Times New Roman" w:cs="Times New Roman"/>
          <w:sz w:val="24"/>
          <w:szCs w:val="28"/>
        </w:rPr>
        <w:t xml:space="preserve">He added, “Building on these achievements, the ACRC will enhance the effectiveness of anti-corruption education while continuously managing and supporting institutions with poor completion rates to further elevate the level of integrity across the entire public sector.” </w:t>
      </w:r>
    </w:p>
    <w:p w:rsidR="00E95EC1" w:rsidRPr="00933DE6" w:rsidRDefault="00E95EC1" w:rsidP="009F1B51"/>
    <w:sectPr w:rsidR="00E95EC1" w:rsidRPr="00933DE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3AD8" w:rsidRDefault="00CE3AD8" w:rsidP="009F1B51">
      <w:pPr>
        <w:spacing w:after="0" w:line="240" w:lineRule="auto"/>
      </w:pPr>
      <w:r>
        <w:separator/>
      </w:r>
    </w:p>
  </w:endnote>
  <w:endnote w:type="continuationSeparator" w:id="0">
    <w:p w:rsidR="00CE3AD8" w:rsidRDefault="00CE3AD8" w:rsidP="009F1B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altName w:val="바탕"/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3AD8" w:rsidRDefault="00CE3AD8" w:rsidP="009F1B51">
      <w:pPr>
        <w:spacing w:after="0" w:line="240" w:lineRule="auto"/>
      </w:pPr>
      <w:r>
        <w:separator/>
      </w:r>
    </w:p>
  </w:footnote>
  <w:footnote w:type="continuationSeparator" w:id="0">
    <w:p w:rsidR="00CE3AD8" w:rsidRDefault="00CE3AD8" w:rsidP="009F1B5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clean"/>
  <w:defaultTabStop w:val="800"/>
  <w:evenAndOddHeaders/>
  <w:drawingGridHorizontalSpacing w:val="110"/>
  <w:drawingGridVerticalSpacing w:val="299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EC1"/>
    <w:rsid w:val="001F189D"/>
    <w:rsid w:val="00217DA9"/>
    <w:rsid w:val="004E4B7A"/>
    <w:rsid w:val="00521949"/>
    <w:rsid w:val="00534F58"/>
    <w:rsid w:val="00537FA6"/>
    <w:rsid w:val="00585E37"/>
    <w:rsid w:val="008F0701"/>
    <w:rsid w:val="008F3C4B"/>
    <w:rsid w:val="00904140"/>
    <w:rsid w:val="00933DE6"/>
    <w:rsid w:val="00963440"/>
    <w:rsid w:val="009F1B51"/>
    <w:rsid w:val="00A57684"/>
    <w:rsid w:val="00AF5109"/>
    <w:rsid w:val="00C8497D"/>
    <w:rsid w:val="00CB2DF9"/>
    <w:rsid w:val="00CB2E5C"/>
    <w:rsid w:val="00CE3AD8"/>
    <w:rsid w:val="00D15D02"/>
    <w:rsid w:val="00D72F5C"/>
    <w:rsid w:val="00D8139C"/>
    <w:rsid w:val="00E00012"/>
    <w:rsid w:val="00E0612F"/>
    <w:rsid w:val="00E95EC1"/>
    <w:rsid w:val="00EA3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EC51D9"/>
  <w15:chartTrackingRefBased/>
  <w15:docId w15:val="{B448F7DF-970E-4F72-873E-570E1B674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33DE6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21949"/>
    <w:pPr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customStyle="1" w:styleId="a4">
    <w:name w:val="쪽 번호"/>
    <w:basedOn w:val="a"/>
    <w:rsid w:val="00521949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9F1B5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9F1B51"/>
  </w:style>
  <w:style w:type="paragraph" w:styleId="a6">
    <w:name w:val="footer"/>
    <w:basedOn w:val="a"/>
    <w:link w:val="Char0"/>
    <w:uiPriority w:val="99"/>
    <w:unhideWhenUsed/>
    <w:rsid w:val="009F1B5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9F1B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441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697</Words>
  <Characters>3974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2026-07-20T04:39:00Z</dcterms:created>
  <dcterms:modified xsi:type="dcterms:W3CDTF">2026-07-20T05:38:00Z</dcterms:modified>
</cp:coreProperties>
</file>