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89D" w:rsidRPr="00C8497D" w:rsidRDefault="001F189D" w:rsidP="00C8497D">
      <w:pPr>
        <w:spacing w:after="360" w:line="276" w:lineRule="auto"/>
        <w:jc w:val="center"/>
        <w:rPr>
          <w:rFonts w:ascii="Times New Roman" w:hAnsi="Times New Roman" w:cs="Times New Roman"/>
          <w:b/>
          <w:sz w:val="32"/>
          <w:szCs w:val="36"/>
        </w:rPr>
      </w:pPr>
      <w:r w:rsidRPr="00C8497D">
        <w:rPr>
          <w:rFonts w:ascii="Times New Roman" w:hAnsi="Times New Roman" w:cs="Times New Roman"/>
          <w:b/>
          <w:sz w:val="32"/>
          <w:szCs w:val="36"/>
        </w:rPr>
        <w:t>Marking 25th Anniversary of Comprehensive Integrity Assessment, ACRC Discusses Future Directions with the Korean Association for Public Administration</w:t>
      </w:r>
    </w:p>
    <w:p w:rsidR="001F189D" w:rsidRPr="00C8497D" w:rsidRDefault="001F189D" w:rsidP="001F189D">
      <w:pPr>
        <w:spacing w:line="276" w:lineRule="auto"/>
        <w:jc w:val="center"/>
        <w:rPr>
          <w:rFonts w:ascii="Times New Roman" w:hAnsi="Times New Roman" w:cs="Times New Roman"/>
          <w:i/>
          <w:sz w:val="28"/>
          <w:szCs w:val="28"/>
        </w:rPr>
      </w:pPr>
      <w:r w:rsidRPr="00C8497D">
        <w:rPr>
          <w:rFonts w:ascii="Times New Roman" w:hAnsi="Times New Roman" w:cs="Times New Roman"/>
          <w:i/>
          <w:sz w:val="28"/>
          <w:szCs w:val="28"/>
        </w:rPr>
        <w:t>- ACRC attends the '2026 KAPA Summer Joint International Conference' to share achievements and discuss future development strategies for the Comprehensive Integrity Assessment for public institutions</w:t>
      </w:r>
    </w:p>
    <w:p w:rsidR="001F189D" w:rsidRPr="00C8497D" w:rsidRDefault="001F189D" w:rsidP="00C8497D">
      <w:pPr>
        <w:wordWrap/>
        <w:spacing w:before="200" w:after="400" w:line="360" w:lineRule="auto"/>
        <w:jc w:val="right"/>
        <w:textAlignment w:val="baseline"/>
        <w:rPr>
          <w:rFonts w:ascii="Times New Roman" w:eastAsia="휴먼명조" w:hAnsi="Times New Roman" w:cs="Times New Roman"/>
          <w:color w:val="000000"/>
          <w:kern w:val="0"/>
          <w:szCs w:val="24"/>
        </w:rPr>
      </w:pPr>
      <w:r w:rsidRPr="00C8497D">
        <w:rPr>
          <w:rFonts w:ascii="Times New Roman" w:eastAsia="휴먼명조" w:hAnsi="Times New Roman" w:cs="Times New Roman"/>
          <w:color w:val="000000"/>
          <w:kern w:val="0"/>
          <w:szCs w:val="24"/>
        </w:rPr>
        <w:t>(June 22, 2026, ACRC)</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The Anti-Corruption and Civil Rights Commission (ACRC, Chairperson J</w:t>
      </w:r>
      <w:r w:rsidRPr="00C8497D">
        <w:rPr>
          <w:rFonts w:ascii="Times New Roman" w:hAnsi="Times New Roman" w:cs="Times New Roman" w:hint="eastAsia"/>
          <w:sz w:val="24"/>
          <w:szCs w:val="28"/>
        </w:rPr>
        <w:t>u</w:t>
      </w:r>
      <w:r w:rsidRPr="00C8497D">
        <w:rPr>
          <w:rFonts w:ascii="Times New Roman" w:hAnsi="Times New Roman" w:cs="Times New Roman"/>
          <w:sz w:val="24"/>
          <w:szCs w:val="28"/>
        </w:rPr>
        <w:t xml:space="preserve">ng Il Yeon) announced that, on the occasion of the 25th anniversary of the Comprehensive Integrity Assessment for public institutions, it has participated in the “2026 Korean Association for Public Administration (KAPA) Summer Joint International Conference” to share the achievements of the assessment system and discuss its future development direction. </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 xml:space="preserve">Co-hosted by KAPA, the National Research Council for Economics, Humanities and Social Sciences (NRC), the Ministry of Oceans and Fisheries, and the Busan Tourism Organization, the conference runs for three days from to the 22nd to the 24th at the Busan Port International Exhibition &amp; Convention Center (BPEX) under the theme, “Public Administration for the People, Public Administration Looking to the Future: Technology, Growth, Balance, and Government.” </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The event brought together around 2,000 public administration scholars and policy experts from 20 countries to review the academic achievements of Korean public administration and design future national governance paradigms through various discussions.</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 xml:space="preserve">Today (the 22nd), the ACRC hosted two special sessions in collaboration with the Korean Association for Corruption Studies and the Korea Institute of Integrity. These sessions aimed to share the primary achievements and policy significance of the Comprehensive Integrity Assessment system while gathering diverse feedback from academia and field practitioners regarding its future development. </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 xml:space="preserve">In the first session, participants focused on “An AI-Driven Integrity Assessment System and the Establishment of Dedicated Assessment Governance.” The discussion covered innovative approaches to the Comprehensive Integrity Assessment using new technologies, alongside the necessity of establishing a specialized institution dedicated to the assessment. </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hint="eastAsia"/>
          <w:sz w:val="24"/>
          <w:szCs w:val="28"/>
        </w:rPr>
        <w:t>I</w:t>
      </w:r>
      <w:r w:rsidRPr="00C8497D">
        <w:rPr>
          <w:rFonts w:ascii="Times New Roman" w:hAnsi="Times New Roman" w:cs="Times New Roman"/>
          <w:sz w:val="24"/>
          <w:szCs w:val="28"/>
        </w:rPr>
        <w:t>n the following second session, participants took stock of the achievements made over the 25-year history of the public institution integrity assessment system, and analyzed the virtuous cycle between the ‘Perceived Integrity’ and ‘Integrity Efforts’ assessments that comprise the Comprehensive Integrity Assessment. In addition, in-depth discussion was held on the future development of the Comprehensive Integrity Assessment system, including the ‘K-CLEAN’ evaluation model for measuring integrity efforts.</w:t>
      </w:r>
    </w:p>
    <w:p w:rsidR="001F189D" w:rsidRPr="008A0359" w:rsidRDefault="001F189D" w:rsidP="001F189D">
      <w:pPr>
        <w:spacing w:line="276" w:lineRule="auto"/>
        <w:rPr>
          <w:rFonts w:ascii="Times New Roman" w:hAnsi="Times New Roman" w:cs="Times New Roman"/>
          <w:sz w:val="2"/>
        </w:rPr>
      </w:pPr>
    </w:p>
    <w:tbl>
      <w:tblPr>
        <w:tblOverlap w:val="never"/>
        <w:tblW w:w="9709" w:type="dxa"/>
        <w:tblCellMar>
          <w:top w:w="15" w:type="dxa"/>
          <w:left w:w="15" w:type="dxa"/>
          <w:bottom w:w="15" w:type="dxa"/>
          <w:right w:w="15" w:type="dxa"/>
        </w:tblCellMar>
        <w:tblLook w:val="04A0" w:firstRow="1" w:lastRow="0" w:firstColumn="1" w:lastColumn="0" w:noHBand="0" w:noVBand="1"/>
      </w:tblPr>
      <w:tblGrid>
        <w:gridCol w:w="9709"/>
      </w:tblGrid>
      <w:tr w:rsidR="001F189D" w:rsidRPr="00CB72BE" w:rsidTr="00C8497D">
        <w:trPr>
          <w:trHeight w:val="3179"/>
        </w:trPr>
        <w:tc>
          <w:tcPr>
            <w:tcW w:w="970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775"/>
              <w:gridCol w:w="778"/>
              <w:gridCol w:w="276"/>
              <w:gridCol w:w="835"/>
              <w:gridCol w:w="838"/>
              <w:gridCol w:w="276"/>
              <w:gridCol w:w="835"/>
              <w:gridCol w:w="838"/>
              <w:gridCol w:w="276"/>
              <w:gridCol w:w="835"/>
              <w:gridCol w:w="846"/>
              <w:gridCol w:w="276"/>
              <w:gridCol w:w="835"/>
              <w:gridCol w:w="838"/>
              <w:gridCol w:w="27"/>
            </w:tblGrid>
            <w:tr w:rsidR="00C8497D" w:rsidRPr="00CB72BE" w:rsidTr="00C8497D">
              <w:trPr>
                <w:trHeight w:val="525"/>
                <w:jc w:val="center"/>
              </w:trPr>
              <w:tc>
                <w:tcPr>
                  <w:tcW w:w="1553" w:type="dxa"/>
                  <w:gridSpan w:val="2"/>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24"/>
                    </w:rPr>
                  </w:pP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5579" w:type="dxa"/>
                  <w:gridSpan w:val="8"/>
                  <w:tcBorders>
                    <w:top w:val="nil"/>
                    <w:left w:val="nil"/>
                    <w:bottom w:val="nil"/>
                    <w:right w:val="nil"/>
                  </w:tcBorders>
                  <w:shd w:val="clear" w:color="auto" w:fill="203A7B"/>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b/>
                      <w:sz w:val="28"/>
                      <w:szCs w:val="28"/>
                    </w:rPr>
                  </w:pPr>
                  <w:r w:rsidRPr="00C8497D">
                    <w:rPr>
                      <w:rFonts w:ascii="Times New Roman" w:hAnsi="Times New Roman" w:cs="Times New Roman"/>
                      <w:b/>
                      <w:sz w:val="28"/>
                      <w:szCs w:val="28"/>
                    </w:rPr>
                    <w:t>Clean and Transparent Organization</w:t>
                  </w:r>
                  <w:r w:rsidR="00C8497D">
                    <w:rPr>
                      <w:rFonts w:ascii="Times New Roman" w:hAnsi="Times New Roman" w:cs="Times New Roman"/>
                      <w:b/>
                      <w:sz w:val="28"/>
                      <w:szCs w:val="28"/>
                    </w:rPr>
                    <w:br/>
                  </w:r>
                  <w:r w:rsidRPr="00C8497D">
                    <w:rPr>
                      <w:rFonts w:ascii="Times New Roman" w:hAnsi="Times New Roman" w:cs="Times New Roman"/>
                      <w:b/>
                      <w:sz w:val="28"/>
                      <w:szCs w:val="28"/>
                    </w:rPr>
                    <w:t>(K-CLEAN Evaluation Model)</w:t>
                  </w: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91" w:type="dxa"/>
                  <w:gridSpan w:val="3"/>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24"/>
                    </w:rPr>
                  </w:pPr>
                </w:p>
              </w:tc>
            </w:tr>
            <w:tr w:rsidR="001F189D" w:rsidRPr="00CB72BE" w:rsidTr="00C8497D">
              <w:trPr>
                <w:trHeight w:val="64"/>
                <w:jc w:val="center"/>
              </w:trPr>
              <w:tc>
                <w:tcPr>
                  <w:tcW w:w="9377" w:type="dxa"/>
                  <w:gridSpan w:val="15"/>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24"/>
                    </w:rPr>
                  </w:pPr>
                  <w:r w:rsidRPr="008A0359">
                    <w:rPr>
                      <w:rFonts w:ascii="바탕" w:eastAsia="굴림" w:hAnsi="굴림" w:cs="굴림"/>
                      <w:noProof/>
                      <w:color w:val="000000"/>
                      <w:kern w:val="0"/>
                      <w:sz w:val="24"/>
                    </w:rPr>
                    <w:drawing>
                      <wp:inline distT="0" distB="0" distL="0" distR="0" wp14:anchorId="6D9A0FC2" wp14:editId="4A5B689B">
                        <wp:extent cx="1247775" cy="247650"/>
                        <wp:effectExtent l="0" t="0" r="9525" b="0"/>
                        <wp:docPr id="1" name="그림 1" descr="EMB00008c4c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96817808" descr="EMB00008c4c35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775" cy="247650"/>
                                </a:xfrm>
                                <a:prstGeom prst="rect">
                                  <a:avLst/>
                                </a:prstGeom>
                                <a:noFill/>
                                <a:ln>
                                  <a:noFill/>
                                </a:ln>
                              </pic:spPr>
                            </pic:pic>
                          </a:graphicData>
                        </a:graphic>
                      </wp:inline>
                    </w:drawing>
                  </w:r>
                </w:p>
              </w:tc>
            </w:tr>
            <w:tr w:rsidR="00C8497D" w:rsidRPr="00CB72BE" w:rsidTr="00C8497D">
              <w:trPr>
                <w:trHeight w:val="64"/>
                <w:jc w:val="center"/>
              </w:trPr>
              <w:tc>
                <w:tcPr>
                  <w:tcW w:w="1553"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3"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3"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9"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276" w:type="dxa"/>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91" w:type="dxa"/>
                  <w:gridSpan w:val="3"/>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r>
            <w:tr w:rsidR="00C8497D" w:rsidRPr="00CB72BE" w:rsidTr="00C8497D">
              <w:trPr>
                <w:trHeight w:val="1083"/>
                <w:jc w:val="center"/>
              </w:trPr>
              <w:tc>
                <w:tcPr>
                  <w:tcW w:w="1553"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r w:rsidRPr="00C8497D">
                    <w:rPr>
                      <w:rFonts w:ascii="Times New Roman" w:hAnsi="Times New Roman" w:cs="Times New Roman"/>
                      <w:sz w:val="24"/>
                      <w:szCs w:val="28"/>
                    </w:rPr>
                    <w:t>Spreading a culture of Integrity</w:t>
                  </w:r>
                </w:p>
              </w:tc>
              <w:tc>
                <w:tcPr>
                  <w:tcW w:w="276"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p>
              </w:tc>
              <w:tc>
                <w:tcPr>
                  <w:tcW w:w="1673"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r w:rsidRPr="00C8497D">
                    <w:rPr>
                      <w:rFonts w:ascii="Times New Roman" w:hAnsi="Times New Roman" w:cs="Times New Roman"/>
                      <w:sz w:val="24"/>
                      <w:szCs w:val="28"/>
                    </w:rPr>
                    <w:t>Strengthening corruption control</w:t>
                  </w:r>
                </w:p>
              </w:tc>
              <w:tc>
                <w:tcPr>
                  <w:tcW w:w="276"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p>
              </w:tc>
              <w:tc>
                <w:tcPr>
                  <w:tcW w:w="1673"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r w:rsidRPr="00C8497D">
                    <w:rPr>
                      <w:rFonts w:ascii="Times New Roman" w:hAnsi="Times New Roman" w:cs="Times New Roman"/>
                      <w:sz w:val="24"/>
                      <w:szCs w:val="28"/>
                    </w:rPr>
                    <w:t>Elimination of corruption-causing factor</w:t>
                  </w:r>
                </w:p>
              </w:tc>
              <w:tc>
                <w:tcPr>
                  <w:tcW w:w="276"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p>
              </w:tc>
              <w:tc>
                <w:tcPr>
                  <w:tcW w:w="1679"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r w:rsidRPr="00C8497D">
                    <w:rPr>
                      <w:rFonts w:ascii="Times New Roman" w:hAnsi="Times New Roman" w:cs="Times New Roman"/>
                      <w:sz w:val="24"/>
                      <w:szCs w:val="28"/>
                    </w:rPr>
                    <w:t>Adoption of corruption-prevention system</w:t>
                  </w:r>
                </w:p>
              </w:tc>
              <w:tc>
                <w:tcPr>
                  <w:tcW w:w="276"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p>
              </w:tc>
              <w:tc>
                <w:tcPr>
                  <w:tcW w:w="1691" w:type="dxa"/>
                  <w:gridSpan w:val="3"/>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sz w:val="24"/>
                      <w:szCs w:val="28"/>
                    </w:rPr>
                  </w:pPr>
                  <w:r w:rsidRPr="00C8497D">
                    <w:rPr>
                      <w:rFonts w:ascii="Times New Roman" w:hAnsi="Times New Roman" w:cs="Times New Roman"/>
                      <w:sz w:val="24"/>
                      <w:szCs w:val="28"/>
                    </w:rPr>
                    <w:t>Expanding anti-corruption network</w:t>
                  </w:r>
                </w:p>
              </w:tc>
            </w:tr>
            <w:tr w:rsidR="00C8497D" w:rsidRPr="00CB72BE" w:rsidTr="00C8497D">
              <w:trPr>
                <w:gridAfter w:val="1"/>
                <w:wAfter w:w="27" w:type="dxa"/>
                <w:trHeight w:val="207"/>
                <w:jc w:val="center"/>
              </w:trPr>
              <w:tc>
                <w:tcPr>
                  <w:tcW w:w="775" w:type="dxa"/>
                  <w:tcBorders>
                    <w:top w:val="single" w:sz="12" w:space="0" w:color="808080"/>
                    <w:left w:val="nil"/>
                    <w:bottom w:val="nil"/>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777"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83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837"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83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837"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83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843"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nil"/>
                    <w:left w:val="nil"/>
                    <w:bottom w:val="single" w:sz="12" w:space="0" w:color="808080"/>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83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837" w:type="dxa"/>
                  <w:tcBorders>
                    <w:top w:val="single" w:sz="12" w:space="0" w:color="808080"/>
                    <w:left w:val="single" w:sz="2" w:space="0" w:color="000000"/>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r>
            <w:tr w:rsidR="00C8497D" w:rsidRPr="00CB72BE" w:rsidTr="00C8497D">
              <w:trPr>
                <w:gridAfter w:val="1"/>
                <w:wAfter w:w="23" w:type="dxa"/>
                <w:trHeight w:val="207"/>
                <w:jc w:val="center"/>
              </w:trPr>
              <w:tc>
                <w:tcPr>
                  <w:tcW w:w="1553" w:type="dxa"/>
                  <w:gridSpan w:val="2"/>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3" w:type="dxa"/>
                  <w:gridSpan w:val="2"/>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835" w:type="dxa"/>
                  <w:tcBorders>
                    <w:top w:val="single" w:sz="12" w:space="0" w:color="808080"/>
                    <w:left w:val="nil"/>
                    <w:bottom w:val="nil"/>
                    <w:right w:val="single" w:sz="2" w:space="0" w:color="000000"/>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837" w:type="dxa"/>
                  <w:tcBorders>
                    <w:top w:val="single" w:sz="12" w:space="0" w:color="808080"/>
                    <w:left w:val="single" w:sz="2" w:space="0" w:color="000000"/>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9" w:type="dxa"/>
                  <w:gridSpan w:val="2"/>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c>
                <w:tcPr>
                  <w:tcW w:w="276" w:type="dxa"/>
                  <w:tcBorders>
                    <w:top w:val="single" w:sz="12" w:space="0" w:color="808080"/>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4"/>
                      <w:szCs w:val="2"/>
                    </w:rPr>
                  </w:pPr>
                </w:p>
              </w:tc>
              <w:tc>
                <w:tcPr>
                  <w:tcW w:w="1673" w:type="dxa"/>
                  <w:gridSpan w:val="2"/>
                  <w:tcBorders>
                    <w:top w:val="nil"/>
                    <w:left w:val="nil"/>
                    <w:bottom w:val="nil"/>
                    <w:right w:val="nil"/>
                  </w:tcBorders>
                  <w:tcMar>
                    <w:top w:w="28" w:type="dxa"/>
                    <w:left w:w="102" w:type="dxa"/>
                    <w:bottom w:w="28" w:type="dxa"/>
                    <w:right w:w="102" w:type="dxa"/>
                  </w:tcMar>
                  <w:vAlign w:val="center"/>
                  <w:hideMark/>
                </w:tcPr>
                <w:p w:rsidR="001F189D" w:rsidRPr="00CB72BE" w:rsidRDefault="001F189D" w:rsidP="00C8497D">
                  <w:pPr>
                    <w:wordWrap/>
                    <w:spacing w:after="0" w:line="240" w:lineRule="auto"/>
                    <w:jc w:val="center"/>
                    <w:textAlignment w:val="baseline"/>
                    <w:rPr>
                      <w:rFonts w:ascii="바탕" w:eastAsia="굴림" w:hAnsi="굴림" w:cs="굴림"/>
                      <w:color w:val="000000"/>
                      <w:kern w:val="0"/>
                      <w:sz w:val="14"/>
                      <w:szCs w:val="12"/>
                    </w:rPr>
                  </w:pPr>
                </w:p>
              </w:tc>
            </w:tr>
            <w:tr w:rsidR="001F189D" w:rsidRPr="00CB72BE" w:rsidTr="00C8497D">
              <w:trPr>
                <w:trHeight w:val="623"/>
                <w:jc w:val="center"/>
              </w:trPr>
              <w:tc>
                <w:tcPr>
                  <w:tcW w:w="9377" w:type="dxa"/>
                  <w:gridSpan w:val="15"/>
                  <w:tcBorders>
                    <w:top w:val="nil"/>
                    <w:left w:val="nil"/>
                    <w:bottom w:val="nil"/>
                    <w:right w:val="nil"/>
                  </w:tcBorders>
                  <w:shd w:val="clear" w:color="auto" w:fill="FFF7CC"/>
                  <w:tcMar>
                    <w:top w:w="28" w:type="dxa"/>
                    <w:left w:w="102" w:type="dxa"/>
                    <w:bottom w:w="28" w:type="dxa"/>
                    <w:right w:w="102" w:type="dxa"/>
                  </w:tcMar>
                  <w:vAlign w:val="center"/>
                  <w:hideMark/>
                </w:tcPr>
                <w:p w:rsidR="001F189D" w:rsidRPr="00C8497D" w:rsidRDefault="001F189D" w:rsidP="00C8497D">
                  <w:pPr>
                    <w:wordWrap/>
                    <w:spacing w:after="0" w:line="240" w:lineRule="auto"/>
                    <w:jc w:val="center"/>
                    <w:rPr>
                      <w:rFonts w:ascii="Times New Roman" w:hAnsi="Times New Roman" w:cs="Times New Roman"/>
                      <w:b/>
                      <w:sz w:val="24"/>
                      <w:szCs w:val="28"/>
                    </w:rPr>
                  </w:pPr>
                  <w:r w:rsidRPr="00C8497D">
                    <w:rPr>
                      <w:rFonts w:ascii="Times New Roman" w:hAnsi="Times New Roman" w:cs="Times New Roman"/>
                      <w:b/>
                      <w:sz w:val="24"/>
                      <w:szCs w:val="28"/>
                    </w:rPr>
                    <w:t>Establishing a keystone of anti-corruption policy promotion through the leadership of the heads of institutions and the allocation of human and material resources</w:t>
                  </w:r>
                </w:p>
              </w:tc>
            </w:tr>
          </w:tbl>
          <w:p w:rsidR="001F189D" w:rsidRPr="00CB72BE" w:rsidRDefault="001F189D" w:rsidP="00C8497D">
            <w:pPr>
              <w:widowControl/>
              <w:wordWrap/>
              <w:autoSpaceDE/>
              <w:autoSpaceDN/>
              <w:spacing w:after="0" w:line="240" w:lineRule="auto"/>
              <w:jc w:val="left"/>
              <w:rPr>
                <w:rFonts w:ascii="굴림" w:eastAsia="굴림" w:hAnsi="굴림" w:cs="굴림"/>
                <w:spacing w:val="-8"/>
                <w:kern w:val="0"/>
                <w:sz w:val="28"/>
                <w:szCs w:val="24"/>
              </w:rPr>
            </w:pPr>
          </w:p>
        </w:tc>
      </w:tr>
    </w:tbl>
    <w:p w:rsidR="001F189D" w:rsidRPr="008A0359" w:rsidRDefault="001F189D" w:rsidP="001F189D">
      <w:pPr>
        <w:spacing w:line="276" w:lineRule="auto"/>
        <w:rPr>
          <w:rFonts w:ascii="Times New Roman" w:hAnsi="Times New Roman" w:cs="Times New Roman"/>
          <w:sz w:val="28"/>
        </w:rPr>
      </w:pPr>
      <w:bookmarkStart w:id="0" w:name="_GoBack"/>
      <w:bookmarkEnd w:id="0"/>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The ACRC plans to carefully review the opinions discussed in this conference to actively reflect them in improving the evaluation system, while continuously exploring mid-to-long-term development plans in collaboration with experts in relevant fields.</w:t>
      </w:r>
    </w:p>
    <w:p w:rsidR="001F189D"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ACRC Chairperson Jung Il Yeon stated, “The Commission has strived to improve administrative services felt by the public by enhancing national integrity through the comprehensive integrity evaluation system, resolving collective conflicts and grievances, and improving AI-based e-People services.”</w:t>
      </w:r>
    </w:p>
    <w:p w:rsidR="00E95EC1" w:rsidRPr="00C8497D" w:rsidRDefault="001F189D" w:rsidP="00C8497D">
      <w:pPr>
        <w:spacing w:before="240" w:line="276" w:lineRule="auto"/>
        <w:rPr>
          <w:rFonts w:ascii="Times New Roman" w:hAnsi="Times New Roman" w:cs="Times New Roman"/>
          <w:sz w:val="24"/>
          <w:szCs w:val="28"/>
        </w:rPr>
      </w:pPr>
      <w:r w:rsidRPr="00C8497D">
        <w:rPr>
          <w:rFonts w:ascii="Times New Roman" w:hAnsi="Times New Roman" w:cs="Times New Roman"/>
          <w:sz w:val="24"/>
          <w:szCs w:val="28"/>
        </w:rPr>
        <w:t>He added, “We will continue to examine policies from the public’s perspective and actively reflect voices from the field to resolve the various social issues we face.”</w:t>
      </w:r>
    </w:p>
    <w:sectPr w:rsidR="00E95EC1" w:rsidRPr="00C8497D" w:rsidSect="008F3C4B">
      <w:pgSz w:w="11910" w:h="16840"/>
      <w:pgMar w:top="1503" w:right="1060" w:bottom="1380" w:left="1140" w:header="1247" w:footer="1179"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EC1"/>
    <w:rsid w:val="001F189D"/>
    <w:rsid w:val="004E4B7A"/>
    <w:rsid w:val="00521949"/>
    <w:rsid w:val="00534F58"/>
    <w:rsid w:val="00537FA6"/>
    <w:rsid w:val="00585E37"/>
    <w:rsid w:val="008F0701"/>
    <w:rsid w:val="008F3C4B"/>
    <w:rsid w:val="00904140"/>
    <w:rsid w:val="00963440"/>
    <w:rsid w:val="00AF5109"/>
    <w:rsid w:val="00C8497D"/>
    <w:rsid w:val="00CB2DF9"/>
    <w:rsid w:val="00CB2E5C"/>
    <w:rsid w:val="00D15D02"/>
    <w:rsid w:val="00D8139C"/>
    <w:rsid w:val="00E00012"/>
    <w:rsid w:val="00E0612F"/>
    <w:rsid w:val="00E95EC1"/>
    <w:rsid w:val="00EA36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50F9"/>
  <w15:chartTrackingRefBased/>
  <w15:docId w15:val="{B448F7DF-970E-4F72-873E-570E1B67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21949"/>
    <w:pPr>
      <w:spacing w:after="0" w:line="384" w:lineRule="auto"/>
      <w:textAlignment w:val="baseline"/>
    </w:pPr>
    <w:rPr>
      <w:rFonts w:ascii="바탕" w:eastAsia="굴림" w:hAnsi="굴림" w:cs="굴림"/>
      <w:color w:val="000000"/>
      <w:kern w:val="0"/>
      <w:szCs w:val="20"/>
    </w:rPr>
  </w:style>
  <w:style w:type="paragraph" w:customStyle="1" w:styleId="a4">
    <w:name w:val="쪽 번호"/>
    <w:basedOn w:val="a"/>
    <w:rsid w:val="00521949"/>
    <w:pPr>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414803">
      <w:bodyDiv w:val="1"/>
      <w:marLeft w:val="0"/>
      <w:marRight w:val="0"/>
      <w:marTop w:val="0"/>
      <w:marBottom w:val="0"/>
      <w:divBdr>
        <w:top w:val="none" w:sz="0" w:space="0" w:color="auto"/>
        <w:left w:val="none" w:sz="0" w:space="0" w:color="auto"/>
        <w:bottom w:val="none" w:sz="0" w:space="0" w:color="auto"/>
        <w:right w:val="none" w:sz="0" w:space="0" w:color="auto"/>
      </w:divBdr>
    </w:div>
    <w:div w:id="6751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589</Words>
  <Characters>3358</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2026-07-20T04:30:00Z</dcterms:created>
  <dcterms:modified xsi:type="dcterms:W3CDTF">2026-07-20T04:35:00Z</dcterms:modified>
</cp:coreProperties>
</file>